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D" w:rsidRPr="004C652D" w:rsidRDefault="004C652D" w:rsidP="004C652D">
      <w:pPr>
        <w:widowControl/>
        <w:shd w:val="clear" w:color="auto" w:fill="FFFFFF"/>
        <w:spacing w:line="360" w:lineRule="atLeast"/>
        <w:jc w:val="center"/>
        <w:outlineLvl w:val="1"/>
        <w:rPr>
          <w:rFonts w:asciiTheme="minorEastAsia" w:hAnsiTheme="minorEastAsia" w:cs="宋体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</w:rPr>
        <w:t>关于对中小</w:t>
      </w:r>
      <w:proofErr w:type="gramStart"/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</w:rPr>
        <w:t>贷款实施临时性延期还本付息的通知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jc w:val="center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银保监发〔2020〕6号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各银保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监局，中国人民银行上海总部，各分行、营业管理部，各省会（首府）城市中心支行，各副省级城市中心支行，各省（自治区、直辖市及计划单列市）发展改革委，新疆生产建设兵团发展改革委，各省（自治区、直辖市及计划单列市）中小企业主管部门，新疆生产建设兵团中小企业主管部门，各省（自治区、直辖市）财政厅（局），新疆生产建设兵团财政局，各政策性银行、大型银行、股份制银行，外资银行：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为深入贯彻落实党中央、国务院关于新冠肺炎疫情防控和应对工作的决策部署，进一步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纾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解中小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困难，推动企业有序复工复产，提高金融服务的针对性、有效性，有关部门作了深入研究，确定按照市场化、法治化原则，对符合条件、流动性遇到暂时困难的中小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贷款，给予临时性延期还本付息安排。经国务院同意，现就有关事宜通知如下：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  <w:shd w:val="clear" w:color="auto" w:fill="AB1942"/>
        </w:rPr>
        <w:t>一、关于贷款到期本金安排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对于2020年1月25日以来到期的困难中小微企业（含小微企业主、个体工商户）贷款本金，银行业金融机构应根据企业延期还本申请，结合企业受疫情影响情况和经营状况，通过贷款展期、续贷等方式，给予企业一定期限的临时性延期还本安排。还本日期最长可延至2020年6月30日。对于少数受疫情影响严重、恢复周期较长且发展前景良好的中小</w:t>
      </w: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lastRenderedPageBreak/>
        <w:t>微企业，银行业金融机构可根据实际情况与企业协商确定另外的延期安排。上述贷款涉及担保的，银行业金融机构应与企业、担保人等协商处理。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  <w:shd w:val="clear" w:color="auto" w:fill="AB1942"/>
        </w:rPr>
        <w:t>二、关于贷款利息支付安排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对于2020年1月25日至6月30日中小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需支付的贷款利息，银行业金融机构应根据企业延期付息申请，结合其受疫情影响的实际情况，给予企业一定期限的延期付息安排。贷款付息日期最长可延至2020年6月30日，免收罚息。延期利息的具体偿还计划，由银行业金融机构与企业双方自主协商、合理确定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  <w:shd w:val="clear" w:color="auto" w:fill="AB1942"/>
        </w:rPr>
        <w:t>三、关于湖北地区特殊安排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湖北地区各类企业适用上述政策。银行业金融机构应为湖北地区配备专项信贷规模，实施内部资金转移定价优惠，力争2020年普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惠型小微企业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综合融资成本较上年平均水平降低1个百分点以上。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  <w:shd w:val="clear" w:color="auto" w:fill="AB1942"/>
        </w:rPr>
        <w:t>四、关于企业新增融资安排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银行业金融机构应积极对接中小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融资需求，建立绿色通道，简化贷款审批流程，适度下放审批权限，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应贷尽贷快贷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。要改进绩效考评、尽职免责等内部资源配置和政策安排，努力提高小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信用贷款、中长期贷款占比和“首贷率”。地方法人银行应主动申请人民银行的新增再贷款、</w:t>
      </w: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lastRenderedPageBreak/>
        <w:t>再贴现额度，积极配合政策性银行的新增信贷计划，以优惠利率向民营、中小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发放贷款。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  <w:shd w:val="clear" w:color="auto" w:fill="AB1942"/>
        </w:rPr>
        <w:t>五、落实要求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做好需求对接。银行业金融机构应积极对接企业贷款延期还本付息需求，开通线下和</w:t>
      </w:r>
      <w:bookmarkStart w:id="0" w:name="_GoBack"/>
      <w:bookmarkEnd w:id="0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线上（网上银行、手机银行、电话银行）等多种渠道，为企业延期还本付息申请提供便利。要及时受理企业申请，限时回复办理。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明确支持重点。银行业金融机构应合理评估企业状况，调整完善企业还本付息安排，重点支持前期经营正常、受疫情影响遇到暂时困难、发展前景良好的中小微企业。对于受疫情影响特别严重、遇到特殊困难的行业，例如交通运输、批发零售、文化娱乐、住宿餐饮等，银行业金融机构应根据实际情况，给予适当倾斜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有效防范风险。银行业金融机构应对临时性延期还本付息贷款进行专门统计、密切监测，对于贷款期间企业经营出现实质性变化的，及时予以相应处置。同时，应完善反欺诈模型运用，推进信息共享联防。一旦发现弄虚作假等违法违规行为，应立即停止融资支持，并通过上报征信、诉讼等惩戒措施，有效防控道德风险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</w:rPr>
        <w:t xml:space="preserve">　</w:t>
      </w:r>
      <w:r w:rsidRPr="004C652D">
        <w:rPr>
          <w:rFonts w:asciiTheme="minorEastAsia" w:hAnsiTheme="minorEastAsia" w:cs="宋体" w:hint="eastAsia"/>
          <w:b/>
          <w:bCs/>
          <w:spacing w:val="8"/>
          <w:kern w:val="0"/>
          <w:sz w:val="30"/>
          <w:szCs w:val="30"/>
          <w:shd w:val="clear" w:color="auto" w:fill="AB1942"/>
        </w:rPr>
        <w:t>六、有关配套政策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lastRenderedPageBreak/>
        <w:t xml:space="preserve">　　对于上述临时性延期还本付息的贷款，银行业金融机构应坚持实质性风险判断，不因疫情因素下调贷款风险分类，不影响企业征信记录。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人民银行综合运用公开市场操作、中期借贷便利、常备借贷便利、再贷款、再贴现等货币政策工具，保持银行体系流动性合理充裕，维持银行负债端平稳接续。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各级财政部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门对于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国有控股和参股的银行业金融机构2020年的经营考核，应充分考虑应对疫情、服务中小</w:t>
      </w:r>
      <w:proofErr w:type="gramStart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微企业</w:t>
      </w:r>
      <w:proofErr w:type="gramEnd"/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的特殊因素，给予合理评价。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> 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jc w:val="righ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银保监会 人民银行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jc w:val="righ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发展改革委 工业和信息化部 财政部</w:t>
      </w:r>
    </w:p>
    <w:p w:rsidR="004C652D" w:rsidRPr="004C652D" w:rsidRDefault="004C652D" w:rsidP="004C652D">
      <w:pPr>
        <w:widowControl/>
        <w:shd w:val="clear" w:color="auto" w:fill="FFFFFF"/>
        <w:spacing w:line="360" w:lineRule="atLeast"/>
        <w:jc w:val="right"/>
        <w:rPr>
          <w:rFonts w:asciiTheme="minorEastAsia" w:hAnsiTheme="minorEastAsia" w:cs="宋体" w:hint="eastAsia"/>
          <w:spacing w:val="8"/>
          <w:kern w:val="0"/>
          <w:sz w:val="30"/>
          <w:szCs w:val="30"/>
        </w:rPr>
      </w:pPr>
      <w:r w:rsidRPr="004C652D">
        <w:rPr>
          <w:rFonts w:asciiTheme="minorEastAsia" w:hAnsiTheme="minorEastAsia" w:cs="宋体" w:hint="eastAsia"/>
          <w:spacing w:val="8"/>
          <w:kern w:val="0"/>
          <w:sz w:val="30"/>
          <w:szCs w:val="30"/>
        </w:rPr>
        <w:t xml:space="preserve">　　2020年3月1日</w:t>
      </w:r>
    </w:p>
    <w:p w:rsidR="00363AD7" w:rsidRPr="004C652D" w:rsidRDefault="00363AD7">
      <w:pPr>
        <w:rPr>
          <w:rFonts w:asciiTheme="minorEastAsia" w:hAnsiTheme="minorEastAsia"/>
          <w:sz w:val="30"/>
          <w:szCs w:val="30"/>
        </w:rPr>
      </w:pPr>
    </w:p>
    <w:sectPr w:rsidR="00363AD7" w:rsidRPr="004C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0"/>
    <w:rsid w:val="001D7590"/>
    <w:rsid w:val="00363AD7"/>
    <w:rsid w:val="004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dcterms:created xsi:type="dcterms:W3CDTF">2020-03-05T07:10:00Z</dcterms:created>
  <dcterms:modified xsi:type="dcterms:W3CDTF">2020-03-05T07:14:00Z</dcterms:modified>
</cp:coreProperties>
</file>